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64203" w:rsidRDefault="001642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203" w:rsidRDefault="001642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64203" w:rsidRDefault="001642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  <w:r w:rsidR="003962BF">
        <w:rPr>
          <w:rFonts w:ascii="Arial" w:hAnsi="Arial" w:cs="Arial"/>
        </w:rPr>
        <w:t>(iii) aprobación de Pliego de Bases y Condiciones Particulares y Especificaciones Técnicas; iv) autorización del llamado de contratación, v) adjudicación de la contratación a la oferta más conveniente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(i</w:t>
      </w:r>
      <w:r>
        <w:rPr>
          <w:rFonts w:ascii="Arial" w:hAnsi="Arial" w:cs="Arial"/>
        </w:rPr>
        <w:t xml:space="preserve">) elaboración del Pliego de Bases y Condiciones Particulares, </w:t>
      </w:r>
      <w:r w:rsidR="0016420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164203" w:rsidRDefault="0043210F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995A05">
        <w:rPr>
          <w:rFonts w:ascii="Arial" w:hAnsi="Arial" w:cs="Arial"/>
          <w:b/>
          <w:lang w:bidi="es-ES"/>
        </w:rPr>
        <w:t>Sprauer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 xml:space="preserve">Sergio Nicolás </w:t>
      </w:r>
      <w:r w:rsidR="00164203"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164203">
        <w:rPr>
          <w:rFonts w:ascii="Arial" w:hAnsi="Arial" w:cs="Arial"/>
          <w:lang w:bidi="es-ES"/>
        </w:rPr>
        <w:t>Prosecretario- Director Ejecutivo</w:t>
      </w:r>
      <w:r>
        <w:rPr>
          <w:rFonts w:ascii="Arial" w:hAnsi="Arial" w:cs="Arial"/>
          <w:lang w:bidi="es-ES"/>
        </w:rPr>
        <w:t xml:space="preserve"> Departamento de Arquitectura e Infraestructura.</w:t>
      </w:r>
      <w:r w:rsidR="00164203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164203" w:rsidRPr="00164203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proofErr w:type="spellStart"/>
      <w:r>
        <w:rPr>
          <w:rFonts w:ascii="Arial" w:hAnsi="Arial" w:cs="Arial"/>
          <w:b/>
          <w:lang w:bidi="es-ES"/>
        </w:rPr>
        <w:t>Raggio</w:t>
      </w:r>
      <w:proofErr w:type="spellEnd"/>
      <w:r>
        <w:rPr>
          <w:rFonts w:ascii="Arial" w:hAnsi="Arial" w:cs="Arial"/>
          <w:b/>
          <w:lang w:bidi="es-ES"/>
        </w:rPr>
        <w:t xml:space="preserve"> Guillermo Emir</w:t>
      </w:r>
      <w:r w:rsidRPr="00995A05">
        <w:rPr>
          <w:rFonts w:ascii="Arial" w:hAnsi="Arial" w:cs="Arial"/>
          <w:b/>
          <w:lang w:bidi="es-ES"/>
        </w:rPr>
        <w:t xml:space="preserve"> </w:t>
      </w:r>
      <w:r>
        <w:rPr>
          <w:rFonts w:ascii="Arial" w:hAnsi="Arial" w:cs="Arial"/>
          <w:b/>
          <w:lang w:bidi="es-ES"/>
        </w:rPr>
        <w:t>–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3962BF" w:rsidRDefault="00164203" w:rsidP="003962B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5285D">
        <w:rPr>
          <w:rFonts w:ascii="Arial" w:hAnsi="Arial" w:cs="Arial"/>
          <w:b/>
          <w:color w:val="000000" w:themeColor="text1"/>
        </w:rPr>
        <w:t xml:space="preserve">Arq. </w:t>
      </w:r>
      <w:r w:rsidR="003962BF">
        <w:rPr>
          <w:rFonts w:ascii="Arial" w:hAnsi="Arial" w:cs="Arial"/>
          <w:b/>
          <w:color w:val="000000" w:themeColor="text1"/>
        </w:rPr>
        <w:t xml:space="preserve">Catalina </w:t>
      </w:r>
      <w:proofErr w:type="spellStart"/>
      <w:r w:rsidR="003962BF">
        <w:rPr>
          <w:rFonts w:ascii="Arial" w:hAnsi="Arial" w:cs="Arial"/>
          <w:b/>
          <w:color w:val="000000" w:themeColor="text1"/>
        </w:rPr>
        <w:t>Mellibovsky</w:t>
      </w:r>
      <w:proofErr w:type="spellEnd"/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 w:rsidR="003962BF">
        <w:rPr>
          <w:rFonts w:ascii="Arial" w:hAnsi="Arial" w:cs="Arial"/>
          <w:lang w:bidi="es-ES"/>
        </w:rPr>
        <w:t>Departamento de Arquitectura e Infraestructura</w:t>
      </w:r>
      <w:r w:rsidR="003962BF">
        <w:rPr>
          <w:rFonts w:ascii="Arial" w:hAnsi="Arial" w:cs="Arial"/>
          <w:lang w:bidi="es-ES"/>
        </w:rPr>
        <w:t xml:space="preserve"> de la Procuración General</w:t>
      </w:r>
      <w:r w:rsidR="003962BF">
        <w:rPr>
          <w:rFonts w:ascii="Arial" w:hAnsi="Arial" w:cs="Arial"/>
          <w:lang w:bidi="es-ES"/>
        </w:rPr>
        <w:t>.</w:t>
      </w:r>
      <w:r w:rsidR="003962BF" w:rsidRPr="00164203">
        <w:rPr>
          <w:rFonts w:ascii="Arial" w:hAnsi="Arial" w:cs="Arial"/>
          <w:b/>
          <w:color w:val="000000" w:themeColor="text1"/>
        </w:rPr>
        <w:t xml:space="preserve"> </w:t>
      </w:r>
    </w:p>
    <w:p w:rsidR="003962BF" w:rsidRPr="00164203" w:rsidRDefault="003962BF" w:rsidP="003962B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95285D">
        <w:rPr>
          <w:rFonts w:ascii="Arial" w:hAnsi="Arial" w:cs="Arial"/>
          <w:b/>
          <w:color w:val="000000" w:themeColor="text1"/>
        </w:rPr>
        <w:lastRenderedPageBreak/>
        <w:t xml:space="preserve">Arq. </w:t>
      </w:r>
      <w:r>
        <w:rPr>
          <w:rFonts w:ascii="Arial" w:hAnsi="Arial" w:cs="Arial"/>
          <w:b/>
          <w:color w:val="000000" w:themeColor="text1"/>
        </w:rPr>
        <w:t xml:space="preserve">Florencia Natacha </w:t>
      </w:r>
      <w:proofErr w:type="spellStart"/>
      <w:r>
        <w:rPr>
          <w:rFonts w:ascii="Arial" w:hAnsi="Arial" w:cs="Arial"/>
          <w:b/>
          <w:color w:val="000000" w:themeColor="text1"/>
        </w:rPr>
        <w:t>Garofalo</w:t>
      </w:r>
      <w:proofErr w:type="spellEnd"/>
      <w:r w:rsidRPr="0095285D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–</w:t>
      </w:r>
      <w:r w:rsidRPr="0095285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lang w:bidi="es-ES"/>
        </w:rPr>
        <w:t>Departamento de Arquitectura e Infraestructura de la Procuración General.</w:t>
      </w:r>
      <w:r w:rsidRPr="00164203">
        <w:rPr>
          <w:rFonts w:ascii="Arial" w:hAnsi="Arial" w:cs="Arial"/>
          <w:b/>
          <w:color w:val="000000" w:themeColor="text1"/>
        </w:rPr>
        <w:t xml:space="preserve"> </w:t>
      </w:r>
      <w:bookmarkStart w:id="0" w:name="_GoBack"/>
      <w:bookmarkEnd w:id="0"/>
    </w:p>
    <w:p w:rsidR="003962BF" w:rsidRPr="00164203" w:rsidRDefault="003962BF" w:rsidP="003962B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</w:p>
    <w:p w:rsidR="00164203" w:rsidRPr="0095285D" w:rsidRDefault="00164203" w:rsidP="00164203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3962BF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E1AC2"/>
    <w:rsid w:val="00E65C12"/>
    <w:rsid w:val="00EF5C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522E10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16</Pages>
  <Words>1645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42</cp:revision>
  <cp:lastPrinted>2022-06-10T13:58:00Z</cp:lastPrinted>
  <dcterms:created xsi:type="dcterms:W3CDTF">2017-03-16T14:25:00Z</dcterms:created>
  <dcterms:modified xsi:type="dcterms:W3CDTF">2022-06-10T14:01:00Z</dcterms:modified>
</cp:coreProperties>
</file>