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  <w:r w:rsidR="006D3E1B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  <w:bookmarkStart w:id="0" w:name="_GoBack"/>
      <w:bookmarkEnd w:id="0"/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E653FE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Barbera Daniela </w:t>
      </w:r>
      <w:r w:rsidR="00AF159F" w:rsidRPr="00AF159F">
        <w:rPr>
          <w:rFonts w:ascii="Arial" w:hAnsi="Arial" w:cs="Arial"/>
          <w:lang w:bidi="es-ES"/>
        </w:rPr>
        <w:t xml:space="preserve">– </w:t>
      </w:r>
      <w:r>
        <w:rPr>
          <w:rFonts w:ascii="Arial" w:hAnsi="Arial" w:cs="Arial"/>
          <w:lang w:bidi="es-ES"/>
        </w:rPr>
        <w:t>Subsecretaria de la Suprema Corte de Justicia de la Subsecretaría de Informática de la Procuración General.</w:t>
      </w:r>
    </w:p>
    <w:p w:rsidR="00AF159F" w:rsidRPr="007A0B9A" w:rsidRDefault="00E653FE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>, Juan Pablo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>de Tecnología y Operaciones de la Subsecretaría de Informática de la Procuración General.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6D3E1B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3FE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43</cp:revision>
  <cp:lastPrinted>2020-08-26T14:44:00Z</cp:lastPrinted>
  <dcterms:created xsi:type="dcterms:W3CDTF">2017-03-16T14:25:00Z</dcterms:created>
  <dcterms:modified xsi:type="dcterms:W3CDTF">2021-11-24T11:16:00Z</dcterms:modified>
</cp:coreProperties>
</file>