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037871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E8194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E81943">
              <w:rPr>
                <w:rFonts w:ascii="Times New Roman" w:hAnsi="Times New Roman" w:cs="Times New Roman"/>
                <w:b/>
                <w:bCs/>
              </w:rPr>
              <w:t>29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E81943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3095E">
              <w:rPr>
                <w:rFonts w:ascii="Times New Roman" w:eastAsia="Arial" w:hAnsi="Times New Roman" w:cs="Times New Roman"/>
                <w:sz w:val="22"/>
                <w:szCs w:val="22"/>
              </w:rPr>
              <w:t>1</w:t>
            </w:r>
            <w:r w:rsidR="00E81943">
              <w:rPr>
                <w:rFonts w:ascii="Times New Roman" w:eastAsia="Arial" w:hAnsi="Times New Roman" w:cs="Times New Roman"/>
                <w:sz w:val="22"/>
                <w:szCs w:val="22"/>
              </w:rPr>
              <w:t>240</w:t>
            </w:r>
            <w:r w:rsidR="00E3095E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345D7D">
              <w:rPr>
                <w:rFonts w:ascii="Times New Roman" w:eastAsia="Arial" w:hAnsi="Times New Roman" w:cs="Times New Roman"/>
                <w:sz w:val="22"/>
                <w:szCs w:val="22"/>
              </w:rPr>
              <w:t>2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E81943">
              <w:rPr>
                <w:rFonts w:ascii="Times New Roman" w:hAnsi="Times New Roman" w:cs="Times New Roman"/>
                <w:color w:val="auto"/>
              </w:rPr>
              <w:t xml:space="preserve">Tandil </w:t>
            </w:r>
            <w:r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E3095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81943">
              <w:rPr>
                <w:rFonts w:ascii="Times New Roman" w:hAnsi="Times New Roman" w:cs="Times New Roman"/>
                <w:color w:val="auto"/>
              </w:rPr>
              <w:t>dependencias del Fuero de Responsabilidad Penal Juvenil.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81943" w:rsidRDefault="00E81943" w:rsidP="00345D7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</w:p>
          <w:p w:rsidR="0057417D" w:rsidRPr="00476AC6" w:rsidRDefault="00AB086D" w:rsidP="00345D7D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345D7D">
              <w:rPr>
                <w:rFonts w:ascii="Times New Roman" w:hAnsi="Times New Roman" w:cs="Times New Roman"/>
                <w:bCs/>
                <w:sz w:val="22"/>
                <w:szCs w:val="19"/>
              </w:rPr>
              <w:t>AZUL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calle </w:t>
            </w:r>
            <w:r w:rsidR="00345D7D">
              <w:rPr>
                <w:rFonts w:ascii="Times New Roman" w:hAnsi="Times New Roman" w:cs="Times New Roman"/>
                <w:bCs/>
                <w:sz w:val="22"/>
                <w:szCs w:val="19"/>
              </w:rPr>
              <w:t>Olavarría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N° </w:t>
            </w:r>
            <w:r w:rsidR="00345D7D">
              <w:rPr>
                <w:rFonts w:ascii="Times New Roman" w:hAnsi="Times New Roman" w:cs="Times New Roman"/>
                <w:bCs/>
                <w:sz w:val="22"/>
                <w:szCs w:val="19"/>
              </w:rPr>
              <w:t>529, Azul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C75EDF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E3095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C75ED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5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C75ED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junio 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345D7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81943" w:rsidRDefault="00E81943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</w:p>
          <w:p w:rsidR="00476AC6" w:rsidRDefault="00345D7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AZUL – calle Olavarría N° 529, Azul </w:t>
            </w:r>
          </w:p>
          <w:p w:rsidR="00345D7D" w:rsidRPr="00476AC6" w:rsidRDefault="00345D7D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C75EDF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C75ED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5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C75EDF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junio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345D7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037871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</w:t>
            </w:r>
            <w:bookmarkStart w:id="0" w:name="_GoBack"/>
            <w:bookmarkEnd w:id="0"/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>propuestas, aun cuando no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037871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037871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037871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03787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C75EDF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0378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037871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037871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03787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03787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037871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3787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3787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345D7D" w:rsidP="00E81943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="00E81943"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  <w:r w:rsidR="00E3095E">
              <w:rPr>
                <w:rFonts w:ascii="Times New Roman" w:hAnsi="Times New Roman" w:cs="Times New Roman"/>
                <w:b/>
                <w:sz w:val="23"/>
                <w:szCs w:val="23"/>
              </w:rPr>
              <w:t>/23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E81943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345D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12</w:t>
            </w:r>
            <w:r w:rsidR="00E81943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40</w:t>
            </w:r>
            <w:r w:rsidR="00E3095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345D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345D7D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37871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5D7D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5ED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095E"/>
    <w:rsid w:val="00E34D18"/>
    <w:rsid w:val="00E41B95"/>
    <w:rsid w:val="00E44D96"/>
    <w:rsid w:val="00E616AE"/>
    <w:rsid w:val="00E67302"/>
    <w:rsid w:val="00E72E33"/>
    <w:rsid w:val="00E81943"/>
    <w:rsid w:val="00E829E8"/>
    <w:rsid w:val="00E8587A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oNotEmbedSmartTags/>
  <w:decimalSymbol w:val=","/>
  <w:listSeparator w:val=";"/>
  <w14:docId w14:val="6E9BE184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DAA9A-CECF-4DB3-A3E5-F68AAD66A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16</Pages>
  <Words>1738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35</cp:revision>
  <cp:lastPrinted>2023-04-12T15:43:00Z</cp:lastPrinted>
  <dcterms:created xsi:type="dcterms:W3CDTF">2021-04-29T12:19:00Z</dcterms:created>
  <dcterms:modified xsi:type="dcterms:W3CDTF">2023-05-16T11:57:00Z</dcterms:modified>
</cp:coreProperties>
</file>