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97198D" w:rsidRPr="00467890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  <w:r w:rsidR="001805B0" w:rsidRPr="00467890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Pr="00467890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467890" w:rsidRDefault="00467890" w:rsidP="00467890">
      <w:pPr>
        <w:spacing w:line="360" w:lineRule="auto"/>
        <w:ind w:left="709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Pr="00467890" w:rsidRDefault="001805B0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Guida Cesar Mario- Perito Genetista - Instituto</w:t>
      </w:r>
      <w:bookmarkStart w:id="0" w:name="_GoBack"/>
      <w:bookmarkEnd w:id="0"/>
      <w:r>
        <w:rPr>
          <w:rFonts w:ascii="Arial" w:hAnsi="Arial" w:cs="Arial"/>
          <w:lang w:bidi="es-ES"/>
        </w:rPr>
        <w:t xml:space="preserve"> de Investigación Criminal y Ciencias Forenses Región Norte.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467890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C8DD0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1604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38</cp:revision>
  <cp:lastPrinted>2022-06-21T12:10:00Z</cp:lastPrinted>
  <dcterms:created xsi:type="dcterms:W3CDTF">2017-03-16T14:25:00Z</dcterms:created>
  <dcterms:modified xsi:type="dcterms:W3CDTF">2022-06-21T12:10:00Z</dcterms:modified>
</cp:coreProperties>
</file>