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43210F" w:rsidRPr="00A87094" w:rsidRDefault="0043210F" w:rsidP="00A87094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</w:p>
    <w:p w:rsidR="0043210F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</w:p>
    <w:p w:rsidR="00F644D8" w:rsidRPr="00F644D8" w:rsidRDefault="00F644D8" w:rsidP="00F644D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Devrient, Pablo Martín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Jefe de Despacho-</w:t>
      </w:r>
      <w:r>
        <w:rPr>
          <w:rFonts w:ascii="Arial" w:hAnsi="Arial" w:cs="Arial"/>
          <w:lang w:bidi="es-ES"/>
        </w:rPr>
        <w:t xml:space="preserve"> Departamento de Arquitectura e Infraestructura.</w:t>
      </w:r>
    </w:p>
    <w:p w:rsidR="00F644D8" w:rsidRDefault="00F644D8" w:rsidP="0043210F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4D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57AC80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1552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8</cp:revision>
  <cp:lastPrinted>2022-10-03T14:17:00Z</cp:lastPrinted>
  <dcterms:created xsi:type="dcterms:W3CDTF">2022-03-09T12:00:00Z</dcterms:created>
  <dcterms:modified xsi:type="dcterms:W3CDTF">2022-10-19T11:17:00Z</dcterms:modified>
</cp:coreProperties>
</file>