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F63178" w:rsidRDefault="00F6317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3F2D0C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3178">
        <w:rPr>
          <w:rFonts w:ascii="Arial" w:hAnsi="Arial" w:cs="Arial"/>
        </w:rPr>
        <w:t xml:space="preserve"> </w:t>
      </w:r>
    </w:p>
    <w:p w:rsidR="003F2D0C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lastRenderedPageBreak/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:rsidR="00164203" w:rsidRDefault="0043210F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 w:rsidR="00164203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164203">
        <w:rPr>
          <w:rFonts w:ascii="Arial" w:hAnsi="Arial" w:cs="Arial"/>
          <w:lang w:bidi="es-ES"/>
        </w:rPr>
        <w:t>Prosecretario- Director Ejecutivo</w:t>
      </w:r>
      <w:r>
        <w:rPr>
          <w:rFonts w:ascii="Arial" w:hAnsi="Arial" w:cs="Arial"/>
          <w:lang w:bidi="es-ES"/>
        </w:rPr>
        <w:t xml:space="preserve"> </w:t>
      </w:r>
      <w:bookmarkStart w:id="0" w:name="_GoBack"/>
      <w:bookmarkEnd w:id="0"/>
      <w:r>
        <w:rPr>
          <w:rFonts w:ascii="Arial" w:hAnsi="Arial" w:cs="Arial"/>
          <w:lang w:bidi="es-ES"/>
        </w:rPr>
        <w:t>Departamento de Arquitectura e Infraestructura.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95285D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 w:rsidR="00F63178">
        <w:rPr>
          <w:rFonts w:ascii="Arial" w:hAnsi="Arial" w:cs="Arial"/>
          <w:b/>
          <w:color w:val="000000" w:themeColor="text1"/>
        </w:rPr>
        <w:t>Cáceres Diego Alejandro</w:t>
      </w:r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Perito I- Dirección ejecutiva II de la Delegación de </w:t>
      </w:r>
      <w:r w:rsidR="008F304E">
        <w:rPr>
          <w:rFonts w:ascii="Arial" w:hAnsi="Arial" w:cs="Arial"/>
          <w:color w:val="000000" w:themeColor="text1"/>
        </w:rPr>
        <w:t xml:space="preserve">Arquitectura de </w:t>
      </w:r>
      <w:r w:rsidR="00F63178">
        <w:rPr>
          <w:rFonts w:ascii="Arial" w:hAnsi="Arial" w:cs="Arial"/>
          <w:color w:val="000000" w:themeColor="text1"/>
        </w:rPr>
        <w:t>San Nicolás-Pergamino.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3F2D0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DE311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1560</Words>
  <Characters>8584</Characters>
  <Application>Microsoft Office Word</Application>
  <DocSecurity>4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2022-10-04T13:54:00Z</cp:lastPrinted>
  <dcterms:created xsi:type="dcterms:W3CDTF">2022-10-04T13:55:00Z</dcterms:created>
  <dcterms:modified xsi:type="dcterms:W3CDTF">2022-10-04T13:55:00Z</dcterms:modified>
</cp:coreProperties>
</file>