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AC452A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DECLARACION JURADA DE DOMICILIO </w:t>
            </w:r>
          </w:p>
          <w:p w:rsidR="00306A6D" w:rsidRPr="0033170B" w:rsidRDefault="00AC452A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AC452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CC2255">
              <w:rPr>
                <w:rFonts w:ascii="Arial" w:hAnsi="Arial"/>
                <w:snapToGrid w:val="0"/>
                <w:sz w:val="21"/>
              </w:rPr>
              <w:t xml:space="preserve">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>6 de la Ley de Compras N°13.981 y su</w:t>
      </w:r>
      <w:r w:rsidR="009A7689">
        <w:rPr>
          <w:rFonts w:ascii="Arial" w:hAnsi="Arial" w:cs="Arial"/>
        </w:rPr>
        <w:t xml:space="preserve"> Decreto reglamentario N° 59/19</w:t>
      </w:r>
      <w:r w:rsidRPr="00524D22">
        <w:rPr>
          <w:rFonts w:ascii="Arial" w:hAnsi="Arial" w:cs="Arial"/>
        </w:rPr>
        <w:t xml:space="preserve">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bookmarkStart w:id="0" w:name="_GoBack"/>
      <w:bookmarkEnd w:id="0"/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91C4F"/>
    <w:rsid w:val="00524D22"/>
    <w:rsid w:val="00691C5F"/>
    <w:rsid w:val="00785C42"/>
    <w:rsid w:val="009647D4"/>
    <w:rsid w:val="009A7689"/>
    <w:rsid w:val="009C4066"/>
    <w:rsid w:val="00AC452A"/>
    <w:rsid w:val="00B42F17"/>
    <w:rsid w:val="00BA1387"/>
    <w:rsid w:val="00BA37BE"/>
    <w:rsid w:val="00BC7143"/>
    <w:rsid w:val="00BE455F"/>
    <w:rsid w:val="00CB7181"/>
    <w:rsid w:val="00CC2255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1453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25</cp:revision>
  <cp:lastPrinted>2017-03-30T11:35:00Z</cp:lastPrinted>
  <dcterms:created xsi:type="dcterms:W3CDTF">2017-03-16T14:25:00Z</dcterms:created>
  <dcterms:modified xsi:type="dcterms:W3CDTF">2019-05-06T12:02:00Z</dcterms:modified>
</cp:coreProperties>
</file>