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F94978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  <w:r w:rsidR="00F94978" w:rsidRPr="00007230">
        <w:rPr>
          <w:rFonts w:ascii="Arial" w:hAnsi="Arial" w:cs="Arial"/>
        </w:rPr>
        <w:t>vi) adjudicación de la contratación a la oferta más conveniente.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proofErr w:type="spellStart"/>
      <w:r w:rsidR="00E104A4">
        <w:rPr>
          <w:rFonts w:ascii="Arial" w:hAnsi="Arial" w:cs="Arial"/>
          <w:b/>
          <w:lang w:bidi="es-ES"/>
        </w:rPr>
        <w:t>Eijo</w:t>
      </w:r>
      <w:proofErr w:type="spellEnd"/>
      <w:r w:rsidR="00E104A4">
        <w:rPr>
          <w:rFonts w:ascii="Arial" w:hAnsi="Arial" w:cs="Arial"/>
          <w:b/>
          <w:lang w:bidi="es-ES"/>
        </w:rPr>
        <w:t xml:space="preserve"> Agustín – </w:t>
      </w:r>
      <w:r w:rsidR="00E104A4">
        <w:rPr>
          <w:rFonts w:ascii="Arial" w:hAnsi="Arial" w:cs="Arial"/>
          <w:lang w:bidi="es-ES"/>
        </w:rPr>
        <w:t xml:space="preserve">Prosecretario </w:t>
      </w:r>
      <w:r w:rsidR="00E104A4">
        <w:rPr>
          <w:rFonts w:ascii="Arial" w:hAnsi="Arial" w:cs="Arial"/>
        </w:rPr>
        <w:t>- Departamento de</w:t>
      </w:r>
      <w:r w:rsidR="00E104A4">
        <w:rPr>
          <w:rFonts w:ascii="Arial" w:hAnsi="Arial" w:cs="Arial"/>
        </w:rPr>
        <w:t xml:space="preserve">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  <w:bookmarkStart w:id="0" w:name="_GoBack"/>
      <w:bookmarkEnd w:id="0"/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3F7394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16</Pages>
  <Words>1613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23</cp:revision>
  <cp:lastPrinted>2019-08-02T12:12:00Z</cp:lastPrinted>
  <dcterms:created xsi:type="dcterms:W3CDTF">2019-07-30T12:44:00Z</dcterms:created>
  <dcterms:modified xsi:type="dcterms:W3CDTF">2022-02-09T15:58:00Z</dcterms:modified>
</cp:coreProperties>
</file>