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5103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939D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51032">
              <w:rPr>
                <w:rFonts w:ascii="Arial" w:hAnsi="Arial"/>
                <w:sz w:val="20"/>
              </w:rPr>
              <w:t>8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51032" w:rsidP="00C939D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2F1AAD">
              <w:rPr>
                <w:rFonts w:ascii="Arial" w:hAnsi="Arial" w:cs="Arial"/>
                <w:color w:val="000000"/>
                <w:lang w:val="es-AR"/>
              </w:rPr>
              <w:t xml:space="preserve">PROVISIÓN DE MATERIALES, INSUMOS Y MANO DE OBRA PARA </w:t>
            </w:r>
            <w:r>
              <w:rPr>
                <w:rFonts w:ascii="Arial" w:hAnsi="Arial" w:cs="Arial"/>
                <w:color w:val="000000"/>
                <w:lang w:val="es-AR"/>
              </w:rPr>
              <w:t>CONSTRUCCIÓN DE SALAS DE EFECTOS Y OFICINAS EN PB Y 2° PISO, INSTALACIÓN ELÉCTRICA Y PINTURA INTERIOR DE TODO EL EDIFICIO UBICADO SITO EN CALLE SARMIENTO N°414 (PB, 1°, 2°, Y 3° PISO), DE LA CIUDAD DE CAMPANA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3051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051032">
              <w:rPr>
                <w:rFonts w:ascii="Arial" w:hAnsi="Arial" w:cs="Arial"/>
                <w:sz w:val="26"/>
                <w:szCs w:val="26"/>
              </w:rPr>
              <w:t xml:space="preserve"> 862.024,00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47B98" w:rsidP="00C557F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 26 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C557F6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47B98" w:rsidP="00C557F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 26 de abril  de 2017  a las 1</w:t>
            </w:r>
            <w:r w:rsidR="00C557F6">
              <w:rPr>
                <w:rFonts w:ascii="Arial" w:eastAsia="Arial Unicode MS" w:hAnsi="Arial"/>
                <w:sz w:val="18"/>
              </w:rPr>
              <w:t>0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8"/>
              </w:rPr>
              <w:t>:00  hs.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1032"/>
    <w:rsid w:val="00056B84"/>
    <w:rsid w:val="000C69EC"/>
    <w:rsid w:val="000E6C76"/>
    <w:rsid w:val="00156B2E"/>
    <w:rsid w:val="001B31E7"/>
    <w:rsid w:val="00265235"/>
    <w:rsid w:val="00267653"/>
    <w:rsid w:val="00286049"/>
    <w:rsid w:val="00347B98"/>
    <w:rsid w:val="003C016C"/>
    <w:rsid w:val="0041175C"/>
    <w:rsid w:val="005B7EAA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BC0F4E"/>
    <w:rsid w:val="00BE5E06"/>
    <w:rsid w:val="00C557F6"/>
    <w:rsid w:val="00C939D8"/>
    <w:rsid w:val="00CF2A54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32</cp:revision>
  <cp:lastPrinted>2017-03-23T15:29:00Z</cp:lastPrinted>
  <dcterms:created xsi:type="dcterms:W3CDTF">2017-03-13T12:28:00Z</dcterms:created>
  <dcterms:modified xsi:type="dcterms:W3CDTF">2017-04-10T14:32:00Z</dcterms:modified>
</cp:coreProperties>
</file>