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015A9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015A94">
              <w:rPr>
                <w:rFonts w:ascii="Arial" w:eastAsia="Times New Roman" w:hAnsi="Arial"/>
              </w:rPr>
              <w:t>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15A94" w:rsidP="00015A9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8B029F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1413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1413F">
              <w:rPr>
                <w:rFonts w:ascii="Arial" w:hAnsi="Arial"/>
                <w:sz w:val="20"/>
              </w:rPr>
              <w:t>941/17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E1413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VINCULOS PARA UNIR REDES LAN EN </w:t>
            </w:r>
            <w:r w:rsidR="00E1413F">
              <w:rPr>
                <w:rFonts w:ascii="Arial" w:hAnsi="Arial"/>
                <w:sz w:val="16"/>
              </w:rPr>
              <w:t>INMUEBLE SITO EN CALLE GRAL. ROCA N°4701, VILLA BALLESTER, DEPARTAMENTO JUDICIAL SAN MARTÍN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1413F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E1413F">
              <w:rPr>
                <w:rFonts w:ascii="Arial" w:hAnsi="Arial" w:cs="Arial"/>
              </w:rPr>
              <w:t>160.000</w:t>
            </w:r>
            <w:r w:rsidR="00936987">
              <w:rPr>
                <w:rFonts w:ascii="Arial" w:hAnsi="Arial" w:cs="Arial"/>
              </w:rPr>
              <w:t>,00</w:t>
            </w:r>
            <w:r w:rsidR="001E5785">
              <w:rPr>
                <w:rFonts w:ascii="Arial" w:hAnsi="Arial" w:cs="Arial"/>
              </w:rPr>
              <w:t xml:space="preserve"> estimado anual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F7414" w:rsidP="00C708D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C708D1">
              <w:rPr>
                <w:rFonts w:ascii="Arial" w:eastAsia="Arial Unicode MS" w:hAnsi="Arial"/>
                <w:sz w:val="18"/>
              </w:rPr>
              <w:t>2</w:t>
            </w:r>
            <w:r w:rsidR="00F075DE">
              <w:rPr>
                <w:rFonts w:ascii="Arial" w:eastAsia="Arial Unicode MS" w:hAnsi="Arial"/>
                <w:sz w:val="18"/>
              </w:rPr>
              <w:t>6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 w:rsidR="00936987">
              <w:rPr>
                <w:rFonts w:ascii="Arial" w:eastAsia="Arial Unicode MS" w:hAnsi="Arial"/>
                <w:sz w:val="18"/>
              </w:rPr>
              <w:t xml:space="preserve"> </w:t>
            </w:r>
            <w:r w:rsidR="00F075DE">
              <w:rPr>
                <w:rFonts w:ascii="Arial" w:eastAsia="Arial Unicode MS" w:hAnsi="Arial"/>
                <w:sz w:val="18"/>
              </w:rPr>
              <w:t>junio</w:t>
            </w:r>
            <w:r w:rsidR="00936987">
              <w:rPr>
                <w:rFonts w:ascii="Arial" w:eastAsia="Arial Unicode MS" w:hAnsi="Arial"/>
                <w:sz w:val="18"/>
              </w:rPr>
              <w:t xml:space="preserve">   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a las </w:t>
            </w:r>
            <w:r w:rsidR="00F075DE">
              <w:rPr>
                <w:rFonts w:ascii="Arial" w:eastAsia="Arial Unicode MS" w:hAnsi="Arial"/>
                <w:sz w:val="18"/>
              </w:rPr>
              <w:t>1</w:t>
            </w:r>
            <w:r w:rsidR="00C708D1">
              <w:rPr>
                <w:rFonts w:ascii="Arial" w:eastAsia="Arial Unicode MS" w:hAnsi="Arial"/>
                <w:sz w:val="18"/>
              </w:rPr>
              <w:t>2</w:t>
            </w:r>
            <w:r w:rsidR="00F075DE">
              <w:rPr>
                <w:rFonts w:ascii="Arial" w:eastAsia="Arial Unicode MS" w:hAnsi="Arial"/>
                <w:sz w:val="18"/>
              </w:rPr>
              <w:t>:00</w:t>
            </w:r>
            <w:r>
              <w:rPr>
                <w:rFonts w:ascii="Arial" w:eastAsia="Arial Unicode MS" w:hAnsi="Arial"/>
                <w:sz w:val="18"/>
              </w:rPr>
              <w:t xml:space="preserve">   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708D1" w:rsidP="00C708D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</w:t>
            </w:r>
            <w:r w:rsidR="00F075DE">
              <w:rPr>
                <w:rFonts w:ascii="Arial" w:eastAsia="Arial Unicode MS" w:hAnsi="Arial"/>
                <w:sz w:val="18"/>
              </w:rPr>
              <w:t xml:space="preserve">6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 w:rsidR="00F075DE">
              <w:rPr>
                <w:rFonts w:ascii="Arial" w:eastAsia="Arial Unicode MS" w:hAnsi="Arial"/>
                <w:sz w:val="18"/>
              </w:rPr>
              <w:t>junio</w:t>
            </w:r>
            <w:r w:rsidR="00936987">
              <w:rPr>
                <w:rFonts w:ascii="Arial" w:eastAsia="Arial Unicode MS" w:hAnsi="Arial"/>
                <w:sz w:val="18"/>
              </w:rPr>
              <w:t xml:space="preserve">   </w:t>
            </w:r>
            <w:r w:rsidR="008B7A74">
              <w:rPr>
                <w:rFonts w:ascii="Arial" w:eastAsia="Arial Unicode MS" w:hAnsi="Arial"/>
                <w:sz w:val="18"/>
              </w:rPr>
              <w:t xml:space="preserve">de 2017 </w:t>
            </w:r>
            <w:r w:rsidR="00F61E1C"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</w:t>
            </w:r>
            <w:r w:rsidR="002F7414">
              <w:rPr>
                <w:rFonts w:ascii="Arial" w:eastAsia="Arial Unicode MS" w:hAnsi="Arial"/>
                <w:sz w:val="18"/>
              </w:rPr>
              <w:t xml:space="preserve"> </w:t>
            </w:r>
            <w:r w:rsidR="00F075DE">
              <w:rPr>
                <w:rFonts w:ascii="Arial" w:eastAsia="Arial Unicode MS" w:hAnsi="Arial"/>
                <w:sz w:val="18"/>
              </w:rPr>
              <w:t>1</w:t>
            </w:r>
            <w:r>
              <w:rPr>
                <w:rFonts w:ascii="Arial" w:eastAsia="Arial Unicode MS" w:hAnsi="Arial"/>
                <w:sz w:val="18"/>
              </w:rPr>
              <w:t>2</w:t>
            </w:r>
            <w:bookmarkStart w:id="0" w:name="_GoBack"/>
            <w:bookmarkEnd w:id="0"/>
            <w:r w:rsidR="00F075DE">
              <w:rPr>
                <w:rFonts w:ascii="Arial" w:eastAsia="Arial Unicode MS" w:hAnsi="Arial"/>
                <w:sz w:val="18"/>
              </w:rPr>
              <w:t>:00</w:t>
            </w:r>
            <w:r w:rsidR="002F7414">
              <w:rPr>
                <w:rFonts w:ascii="Arial" w:eastAsia="Arial Unicode MS" w:hAnsi="Arial"/>
                <w:sz w:val="18"/>
              </w:rPr>
              <w:t xml:space="preserve">  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5A94"/>
    <w:rsid w:val="00056B84"/>
    <w:rsid w:val="000C69EC"/>
    <w:rsid w:val="000E6C76"/>
    <w:rsid w:val="00156B2E"/>
    <w:rsid w:val="001B31E7"/>
    <w:rsid w:val="001E5785"/>
    <w:rsid w:val="00216F3A"/>
    <w:rsid w:val="00265235"/>
    <w:rsid w:val="00267653"/>
    <w:rsid w:val="00286049"/>
    <w:rsid w:val="002F7414"/>
    <w:rsid w:val="003C016C"/>
    <w:rsid w:val="0041175C"/>
    <w:rsid w:val="004D6C81"/>
    <w:rsid w:val="00556E29"/>
    <w:rsid w:val="005B7EAA"/>
    <w:rsid w:val="005F608F"/>
    <w:rsid w:val="00636C04"/>
    <w:rsid w:val="00657964"/>
    <w:rsid w:val="00681312"/>
    <w:rsid w:val="007014EC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C439B"/>
    <w:rsid w:val="00BE5E06"/>
    <w:rsid w:val="00C708D1"/>
    <w:rsid w:val="00C939D8"/>
    <w:rsid w:val="00CF2A54"/>
    <w:rsid w:val="00D41F35"/>
    <w:rsid w:val="00DE17A1"/>
    <w:rsid w:val="00DE5FF4"/>
    <w:rsid w:val="00E1413F"/>
    <w:rsid w:val="00E30514"/>
    <w:rsid w:val="00E438B0"/>
    <w:rsid w:val="00E44F5F"/>
    <w:rsid w:val="00EE6BC8"/>
    <w:rsid w:val="00EE6C53"/>
    <w:rsid w:val="00F075DE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5FCF8-26BA-48E3-B13F-65EA61F3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46</cp:revision>
  <cp:lastPrinted>2017-06-07T12:02:00Z</cp:lastPrinted>
  <dcterms:created xsi:type="dcterms:W3CDTF">2017-03-13T12:28:00Z</dcterms:created>
  <dcterms:modified xsi:type="dcterms:W3CDTF">2017-06-14T12:17:00Z</dcterms:modified>
</cp:coreProperties>
</file>